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063968">
        <w:rPr>
          <w:rFonts w:ascii="Arial" w:hAnsi="Arial" w:cs="Arial"/>
          <w:b/>
        </w:rPr>
        <w:t>Affinity</w:t>
      </w:r>
    </w:p>
    <w:p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</w:p>
    <w:p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proofErr w:type="spellStart"/>
      <w:r w:rsidR="000E71FD" w:rsidRPr="00C02955">
        <w:rPr>
          <w:rFonts w:ascii="Arial" w:hAnsi="Arial" w:cs="Arial"/>
          <w:b/>
          <w:sz w:val="18"/>
          <w:szCs w:val="18"/>
        </w:rPr>
        <w:t>Phtalatfrei</w:t>
      </w:r>
      <w:proofErr w:type="spellEnd"/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Indoor Air Comfort GOLD-</w:t>
      </w:r>
      <w:r w:rsidR="00110B8B">
        <w:rPr>
          <w:rFonts w:ascii="Arial" w:hAnsi="Arial" w:cs="Arial"/>
          <w:sz w:val="18"/>
          <w:szCs w:val="18"/>
        </w:rPr>
        <w:t>,</w:t>
      </w:r>
      <w:r w:rsidR="00D751A5" w:rsidRPr="00C029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1A5"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="00D751A5" w:rsidRPr="00C02955">
        <w:rPr>
          <w:rFonts w:ascii="Arial" w:hAnsi="Arial" w:cs="Arial"/>
          <w:sz w:val="18"/>
          <w:szCs w:val="18"/>
        </w:rPr>
        <w:t>®-</w:t>
      </w:r>
      <w:r w:rsidR="00110B8B">
        <w:rPr>
          <w:rFonts w:ascii="Arial" w:hAnsi="Arial" w:cs="Arial"/>
          <w:sz w:val="18"/>
          <w:szCs w:val="18"/>
        </w:rPr>
        <w:t xml:space="preserve"> und M1-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B21512">
        <w:rPr>
          <w:rFonts w:ascii="Arial" w:hAnsi="Arial" w:cs="Arial"/>
          <w:sz w:val="18"/>
          <w:szCs w:val="18"/>
        </w:rPr>
        <w:t>,</w:t>
      </w:r>
    </w:p>
    <w:p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 und hergestellt mit mindestens 25 % Recyclinganteil</w:t>
      </w:r>
      <w:r w:rsidR="00B21512">
        <w:rPr>
          <w:rFonts w:ascii="Arial" w:hAnsi="Arial" w:cs="Arial"/>
          <w:sz w:val="18"/>
          <w:szCs w:val="18"/>
        </w:rPr>
        <w:t>,</w:t>
      </w:r>
    </w:p>
    <w:p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:rsidR="003D5DA6" w:rsidRP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:rsidR="000E71FD" w:rsidRPr="000E71FD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Pr="009C7C7D">
        <w:rPr>
          <w:rFonts w:ascii="Arial" w:hAnsi="Arial" w:cs="Arial"/>
          <w:b/>
          <w:sz w:val="18"/>
          <w:szCs w:val="18"/>
        </w:rPr>
        <w:t>5 dB</w:t>
      </w:r>
      <w:r>
        <w:rPr>
          <w:rFonts w:ascii="Arial" w:hAnsi="Arial" w:cs="Arial"/>
          <w:sz w:val="18"/>
          <w:szCs w:val="18"/>
        </w:rPr>
        <w:t>,</w:t>
      </w:r>
    </w:p>
    <w:p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:rsidR="006A575B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proofErr w:type="spellStart"/>
      <w:r w:rsidRPr="009C7C7D">
        <w:rPr>
          <w:rFonts w:ascii="Arial" w:hAnsi="Arial" w:cs="Arial"/>
          <w:sz w:val="18"/>
          <w:szCs w:val="18"/>
        </w:rPr>
        <w:t>Dekontaminierbarkeit</w:t>
      </w:r>
      <w:proofErr w:type="spellEnd"/>
      <w:r w:rsidRPr="009C7C7D">
        <w:rPr>
          <w:rFonts w:ascii="Arial" w:hAnsi="Arial" w:cs="Arial"/>
          <w:sz w:val="18"/>
          <w:szCs w:val="18"/>
        </w:rPr>
        <w:t xml:space="preserve"> </w:t>
      </w:r>
      <w:r w:rsidR="00DA223B"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Pr="00480C37">
        <w:rPr>
          <w:rFonts w:ascii="Arial" w:hAnsi="Arial" w:cs="Arial"/>
          <w:sz w:val="18"/>
          <w:szCs w:val="18"/>
        </w:rPr>
        <w:t xml:space="preserve"> </w:t>
      </w:r>
      <w:r w:rsidR="00716100">
        <w:rPr>
          <w:rFonts w:ascii="Arial" w:hAnsi="Arial" w:cs="Arial"/>
          <w:sz w:val="18"/>
          <w:szCs w:val="18"/>
        </w:rPr>
        <w:t xml:space="preserve">/ </w:t>
      </w:r>
      <w:r w:rsidR="00716100" w:rsidRPr="00716100">
        <w:rPr>
          <w:rFonts w:ascii="Arial" w:hAnsi="Arial" w:cs="Arial"/>
          <w:b/>
          <w:sz w:val="18"/>
          <w:szCs w:val="18"/>
        </w:rPr>
        <w:t>R10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2.850 g/m²</w:t>
      </w:r>
    </w:p>
    <w:p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0,02 mm</w:t>
      </w:r>
    </w:p>
    <w:p w:rsidR="00C951B6" w:rsidRDefault="00C951B6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Chipoptik, in mehrfarbiger Ton-in-Ton Abstufung zum Grundfarbton, richtungsfrei,</w:t>
      </w:r>
      <w:r w:rsidR="00466B41">
        <w:rPr>
          <w:rFonts w:ascii="Arial" w:hAnsi="Arial" w:cs="Arial"/>
          <w:sz w:val="18"/>
          <w:szCs w:val="18"/>
        </w:rPr>
        <w:t xml:space="preserve"> mit matter Oberfläche,</w:t>
      </w:r>
      <w:bookmarkStart w:id="1" w:name="_GoBack"/>
      <w:bookmarkEnd w:id="1"/>
    </w:p>
    <w:p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≥ Stufe 7</w:t>
      </w:r>
    </w:p>
    <w:p w:rsidR="00193980" w:rsidRDefault="00BE05D6" w:rsidP="00C951B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mit werkseitiger </w:t>
      </w:r>
      <w:r w:rsidR="00485500">
        <w:rPr>
          <w:rFonts w:ascii="Arial" w:hAnsi="Arial" w:cs="Arial"/>
          <w:sz w:val="18"/>
          <w:szCs w:val="18"/>
        </w:rPr>
        <w:t>PUR-</w:t>
      </w:r>
      <w:r w:rsidRPr="00BE05D6">
        <w:rPr>
          <w:rFonts w:ascii="Arial" w:hAnsi="Arial" w:cs="Arial"/>
          <w:sz w:val="18"/>
          <w:szCs w:val="18"/>
        </w:rPr>
        <w:t>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:rsidR="00C02955" w:rsidRPr="00C02955" w:rsidRDefault="00955D7C" w:rsidP="00C951B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r>
        <w:rPr>
          <w:rFonts w:ascii="Arial" w:hAnsi="Arial" w:cs="Arial"/>
          <w:sz w:val="18"/>
          <w:szCs w:val="18"/>
        </w:rPr>
        <w:t>E.coli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 w:rsidR="00C02955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 w:rsidR="00C02955">
        <w:rPr>
          <w:rFonts w:ascii="Arial" w:hAnsi="Arial" w:cs="Arial"/>
          <w:sz w:val="18"/>
          <w:szCs w:val="18"/>
        </w:rPr>
        <w:t xml:space="preserve"> - MRSA)</w:t>
      </w:r>
      <w:r>
        <w:rPr>
          <w:rFonts w:ascii="Arial" w:hAnsi="Arial" w:cs="Arial"/>
          <w:sz w:val="18"/>
          <w:szCs w:val="18"/>
        </w:rPr>
        <w:t xml:space="preserve"> ISO 22196</w:t>
      </w:r>
      <w:r w:rsidR="00C02955">
        <w:rPr>
          <w:rFonts w:ascii="Arial" w:hAnsi="Arial" w:cs="Arial"/>
          <w:sz w:val="18"/>
          <w:szCs w:val="18"/>
        </w:rPr>
        <w:t xml:space="preserve">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:rsidR="00BE05D6" w:rsidRPr="00C02955" w:rsidRDefault="00193980" w:rsidP="00C951B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:rsidR="00955D7C" w:rsidRPr="00C02955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Der Hersteller des gelieferten Bodenbelages verpflichtet sich, die bei der Verlegung anfallenden </w:t>
      </w:r>
      <w:proofErr w:type="spellStart"/>
      <w:r w:rsidRPr="00C02955">
        <w:rPr>
          <w:rFonts w:ascii="Arial" w:hAnsi="Arial" w:cs="Arial"/>
          <w:sz w:val="18"/>
          <w:szCs w:val="18"/>
        </w:rPr>
        <w:t>Verschnittreste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zurückzunehmen, um diese im Rahmen des werkseigenen Programms zum Umweltschutz zu recyceln und bei der Herstellung neuer Beläge wiederzuverwerten. Die Rücknahme erfolgt in Abstimmung mit dem jeweils beauftragten Verarbeitungsbetrieb.</w:t>
      </w:r>
    </w:p>
    <w:p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</w:t>
      </w:r>
      <w:r w:rsidR="007E6BBE">
        <w:rPr>
          <w:rFonts w:ascii="Arial" w:hAnsi="Arial" w:cs="Arial"/>
          <w:sz w:val="18"/>
          <w:szCs w:val="18"/>
        </w:rPr>
        <w:t xml:space="preserve"> gemäß DIN 18365,</w:t>
      </w:r>
    </w:p>
    <w:p w:rsidR="00BE05D6" w:rsidRPr="00C951B6" w:rsidRDefault="00BE05D6" w:rsidP="00B21512">
      <w:pPr>
        <w:spacing w:after="60"/>
        <w:rPr>
          <w:rFonts w:ascii="Arial" w:hAnsi="Arial" w:cs="Arial"/>
          <w:sz w:val="16"/>
          <w:szCs w:val="16"/>
        </w:rPr>
      </w:pP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C951B6">
        <w:rPr>
          <w:rFonts w:ascii="Arial" w:hAnsi="Arial" w:cs="Arial"/>
          <w:b/>
          <w:sz w:val="18"/>
          <w:szCs w:val="18"/>
        </w:rPr>
        <w:t>Affinity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proofErr w:type="spellStart"/>
      <w:r>
        <w:rPr>
          <w:rFonts w:ascii="Arial" w:hAnsi="Arial" w:cs="Arial"/>
          <w:b/>
          <w:sz w:val="18"/>
          <w:szCs w:val="18"/>
        </w:rPr>
        <w:t>Gerflor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:rsidR="00BE05D6" w:rsidRDefault="00BE05D6" w:rsidP="00F876AC">
      <w:pPr>
        <w:rPr>
          <w:rFonts w:ascii="Arial" w:hAnsi="Arial" w:cs="Arial"/>
          <w:sz w:val="18"/>
          <w:szCs w:val="18"/>
        </w:rPr>
      </w:pPr>
    </w:p>
    <w:p w:rsidR="00F876AC" w:rsidRDefault="00F876AC" w:rsidP="00F876AC">
      <w:pPr>
        <w:rPr>
          <w:rFonts w:ascii="Arial" w:hAnsi="Arial" w:cs="Arial"/>
          <w:sz w:val="18"/>
          <w:szCs w:val="18"/>
        </w:rPr>
      </w:pPr>
    </w:p>
    <w:p w:rsidR="008D02E9" w:rsidRDefault="008D02E9" w:rsidP="00F876AC">
      <w:pPr>
        <w:rPr>
          <w:rFonts w:ascii="Arial" w:hAnsi="Arial" w:cs="Arial"/>
          <w:sz w:val="18"/>
          <w:szCs w:val="18"/>
        </w:rPr>
      </w:pPr>
    </w:p>
    <w:p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06" w:rsidRDefault="00813906" w:rsidP="00BE3D9A">
      <w:r>
        <w:separator/>
      </w:r>
    </w:p>
  </w:endnote>
  <w:endnote w:type="continuationSeparator" w:id="0">
    <w:p w:rsidR="00813906" w:rsidRDefault="0081390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3B2A2F">
      <w:rPr>
        <w:rFonts w:ascii="Arial" w:hAnsi="Arial" w:cs="Arial"/>
        <w:bCs/>
        <w:color w:val="001740"/>
        <w:sz w:val="18"/>
        <w:szCs w:val="18"/>
      </w:rPr>
      <w:t>5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E54A4C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06" w:rsidRDefault="00813906" w:rsidP="00BE3D9A">
      <w:r>
        <w:separator/>
      </w:r>
    </w:p>
  </w:footnote>
  <w:footnote w:type="continuationSeparator" w:id="0">
    <w:p w:rsidR="00813906" w:rsidRDefault="0081390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8361E"/>
    <w:rsid w:val="0009028C"/>
    <w:rsid w:val="000E71FD"/>
    <w:rsid w:val="00110B8B"/>
    <w:rsid w:val="00174B3F"/>
    <w:rsid w:val="00186FF6"/>
    <w:rsid w:val="00193980"/>
    <w:rsid w:val="001A0A85"/>
    <w:rsid w:val="001A6237"/>
    <w:rsid w:val="001E732B"/>
    <w:rsid w:val="002126B1"/>
    <w:rsid w:val="002364FE"/>
    <w:rsid w:val="002F5115"/>
    <w:rsid w:val="00321A0F"/>
    <w:rsid w:val="00340D91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401054"/>
    <w:rsid w:val="00450746"/>
    <w:rsid w:val="00466B41"/>
    <w:rsid w:val="00480C37"/>
    <w:rsid w:val="00483CEA"/>
    <w:rsid w:val="00485500"/>
    <w:rsid w:val="004C5E23"/>
    <w:rsid w:val="004E4348"/>
    <w:rsid w:val="00501593"/>
    <w:rsid w:val="005F47D4"/>
    <w:rsid w:val="005F7F42"/>
    <w:rsid w:val="00621CD6"/>
    <w:rsid w:val="00650FB4"/>
    <w:rsid w:val="006655B3"/>
    <w:rsid w:val="00666FF1"/>
    <w:rsid w:val="00695472"/>
    <w:rsid w:val="006A575B"/>
    <w:rsid w:val="0070108C"/>
    <w:rsid w:val="007053D0"/>
    <w:rsid w:val="007109B1"/>
    <w:rsid w:val="00716100"/>
    <w:rsid w:val="007369E2"/>
    <w:rsid w:val="007A4513"/>
    <w:rsid w:val="007E244A"/>
    <w:rsid w:val="007E6BBE"/>
    <w:rsid w:val="00813906"/>
    <w:rsid w:val="008414D5"/>
    <w:rsid w:val="00850E9C"/>
    <w:rsid w:val="0085779C"/>
    <w:rsid w:val="008D02E9"/>
    <w:rsid w:val="008F0B95"/>
    <w:rsid w:val="00925175"/>
    <w:rsid w:val="00937A45"/>
    <w:rsid w:val="00955D7C"/>
    <w:rsid w:val="009A7C59"/>
    <w:rsid w:val="009C7C7D"/>
    <w:rsid w:val="00A2734A"/>
    <w:rsid w:val="00A552BF"/>
    <w:rsid w:val="00AD5003"/>
    <w:rsid w:val="00AF5416"/>
    <w:rsid w:val="00B21512"/>
    <w:rsid w:val="00B53220"/>
    <w:rsid w:val="00B81957"/>
    <w:rsid w:val="00BA791C"/>
    <w:rsid w:val="00BE05D6"/>
    <w:rsid w:val="00BE3D9A"/>
    <w:rsid w:val="00C02955"/>
    <w:rsid w:val="00C6240B"/>
    <w:rsid w:val="00C64939"/>
    <w:rsid w:val="00C7169F"/>
    <w:rsid w:val="00C75240"/>
    <w:rsid w:val="00C951B6"/>
    <w:rsid w:val="00C953A3"/>
    <w:rsid w:val="00CA7E64"/>
    <w:rsid w:val="00CD6E5D"/>
    <w:rsid w:val="00D6451F"/>
    <w:rsid w:val="00D751A5"/>
    <w:rsid w:val="00DA223B"/>
    <w:rsid w:val="00DB2A89"/>
    <w:rsid w:val="00DF5AB2"/>
    <w:rsid w:val="00E015BC"/>
    <w:rsid w:val="00E54A4C"/>
    <w:rsid w:val="00E77991"/>
    <w:rsid w:val="00E96AD9"/>
    <w:rsid w:val="00F442DC"/>
    <w:rsid w:val="00F553F0"/>
    <w:rsid w:val="00F66BE1"/>
    <w:rsid w:val="00F876AC"/>
    <w:rsid w:val="00F93D7F"/>
    <w:rsid w:val="00F96D1F"/>
    <w:rsid w:val="00F97C86"/>
    <w:rsid w:val="00FA736E"/>
    <w:rsid w:val="00FB1AD2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28697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3012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VEIGEL Marco</cp:lastModifiedBy>
  <cp:revision>4</cp:revision>
  <cp:lastPrinted>2015-06-29T11:32:00Z</cp:lastPrinted>
  <dcterms:created xsi:type="dcterms:W3CDTF">2019-05-08T13:15:00Z</dcterms:created>
  <dcterms:modified xsi:type="dcterms:W3CDTF">2019-05-08T13:53:00Z</dcterms:modified>
</cp:coreProperties>
</file>